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</w:pPr>
      <w:r>
        <w:rPr>
          <w:rStyle w:val="4"/>
          <w:rFonts w:hint="eastAsia" w:ascii="Courier" w:hAnsi="Courier" w:cs="Courier"/>
          <w:sz w:val="21"/>
          <w:szCs w:val="21"/>
          <w:shd w:val="clear" w:fill="FFFFFF"/>
        </w:rPr>
        <w:t>2017年兴业县学前教育、特殊教育岗位拟聘人员名单</w:t>
      </w:r>
    </w:p>
    <w:tbl>
      <w:tblPr>
        <w:tblW w:w="84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83"/>
        <w:gridCol w:w="1112"/>
        <w:gridCol w:w="1868"/>
        <w:gridCol w:w="932"/>
        <w:gridCol w:w="2777"/>
        <w:gridCol w:w="8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序号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姓名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准考证号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民族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招聘岗位</w:t>
            </w:r>
          </w:p>
        </w:tc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马秋绒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450900100824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汉族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4509240004学前教育教师</w:t>
            </w:r>
          </w:p>
        </w:tc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郑雪兰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450900102820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汉族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4509240004学前教育教师</w:t>
            </w:r>
          </w:p>
        </w:tc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黄琳淋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450900200508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汉族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4509240004学前教育教师</w:t>
            </w:r>
          </w:p>
        </w:tc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周瑜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450900202611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汉族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4509240004学前教育教师</w:t>
            </w:r>
          </w:p>
        </w:tc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蓝月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450900101122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汉族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4509240003特殊教育教师</w:t>
            </w:r>
          </w:p>
        </w:tc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6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李曼琳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450900102219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汉族</w:t>
            </w: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4509240003特殊教育教师</w:t>
            </w:r>
          </w:p>
        </w:tc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" w:lineRule="atLeast"/>
            </w:pPr>
            <w:r>
              <w:rPr>
                <w:rFonts w:hint="default" w:ascii="Courier" w:hAnsi="Courier" w:cs="Courier"/>
                <w:sz w:val="18"/>
                <w:szCs w:val="18"/>
              </w:rPr>
              <w:t>　</w:t>
            </w:r>
          </w:p>
        </w:tc>
      </w:tr>
    </w:tbl>
    <w:p>
      <w:pPr>
        <w:pStyle w:val="9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0" w:afterAutospacing="0" w:line="27" w:lineRule="atLeast"/>
      <w:ind w:left="0" w:right="0" w:firstLine="420"/>
      <w:jc w:val="left"/>
    </w:pPr>
    <w:rPr>
      <w:color w:val="242424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73636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73636"/>
      <w:u w:val="none"/>
      <w:bdr w:val="none" w:color="auto" w:sz="0" w:space="0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2017-09-12T09:13:43Z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