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55"/>
        </w:tabs>
        <w:spacing w:line="400" w:lineRule="exact"/>
        <w:jc w:val="left"/>
        <w:rPr>
          <w:rFonts w:hint="default" w:ascii="幼圆" w:eastAsia="幼圆"/>
          <w:b/>
          <w:bCs/>
          <w:sz w:val="32"/>
          <w:szCs w:val="32"/>
          <w:lang w:val="en-US" w:eastAsia="zh-CN"/>
        </w:rPr>
      </w:pPr>
      <w:r>
        <w:rPr>
          <w:rFonts w:hint="eastAsia" w:ascii="幼圆" w:eastAsia="幼圆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幼圆" w:eastAsia="幼圆"/>
          <w:b w:val="0"/>
          <w:bCs w:val="0"/>
          <w:sz w:val="32"/>
          <w:szCs w:val="32"/>
          <w:lang w:val="en-US" w:eastAsia="zh-CN"/>
        </w:rPr>
        <w:t>2：</w:t>
      </w:r>
    </w:p>
    <w:p>
      <w:pPr>
        <w:tabs>
          <w:tab w:val="left" w:pos="3255"/>
        </w:tabs>
        <w:spacing w:line="400" w:lineRule="exact"/>
        <w:jc w:val="center"/>
        <w:rPr>
          <w:rFonts w:ascii="幼圆" w:eastAsia="幼圆"/>
          <w:b/>
          <w:bCs/>
          <w:sz w:val="36"/>
          <w:szCs w:val="36"/>
        </w:rPr>
      </w:pPr>
      <w:bookmarkStart w:id="0" w:name="_GoBack"/>
      <w:r>
        <w:rPr>
          <w:rFonts w:hint="eastAsia" w:ascii="幼圆" w:eastAsia="幼圆"/>
          <w:b/>
          <w:bCs/>
          <w:sz w:val="36"/>
          <w:szCs w:val="36"/>
        </w:rPr>
        <w:t>体检须知及注意事项</w:t>
      </w:r>
    </w:p>
    <w:bookmarkEnd w:id="0"/>
    <w:p>
      <w:pPr>
        <w:tabs>
          <w:tab w:val="left" w:pos="3255"/>
        </w:tabs>
        <w:spacing w:line="400" w:lineRule="exact"/>
        <w:jc w:val="center"/>
        <w:rPr>
          <w:rFonts w:hint="eastAsia" w:ascii="幼圆" w:eastAsia="幼圆"/>
          <w:b/>
          <w:bCs/>
          <w:sz w:val="24"/>
        </w:rPr>
      </w:pPr>
    </w:p>
    <w:p>
      <w:pPr>
        <w:pStyle w:val="2"/>
        <w:spacing w:line="400" w:lineRule="exact"/>
        <w:ind w:firstLine="480"/>
        <w:rPr>
          <w:rFonts w:hint="eastAsia" w:ascii="幼圆" w:eastAsia="幼圆"/>
          <w:szCs w:val="24"/>
        </w:rPr>
      </w:pPr>
      <w:r>
        <w:rPr>
          <w:rFonts w:hint="eastAsia" w:ascii="幼圆" w:eastAsia="幼圆"/>
          <w:szCs w:val="24"/>
        </w:rPr>
        <w:t>为确保您的体检顺利进行，希望您在体检前详细阅读如下须知及注意事项。</w:t>
      </w:r>
    </w:p>
    <w:p>
      <w:pPr>
        <w:pStyle w:val="2"/>
        <w:numPr>
          <w:ilvl w:val="0"/>
          <w:numId w:val="1"/>
        </w:numPr>
        <w:spacing w:line="400" w:lineRule="exact"/>
        <w:ind w:firstLineChars="0"/>
        <w:rPr>
          <w:rFonts w:hint="eastAsia" w:ascii="幼圆" w:eastAsia="幼圆"/>
          <w:szCs w:val="24"/>
        </w:rPr>
      </w:pPr>
      <w:r>
        <w:rPr>
          <w:rFonts w:hint="eastAsia" w:ascii="幼圆" w:eastAsia="幼圆"/>
          <w:szCs w:val="24"/>
        </w:rPr>
        <w:t>体检当天请携带本人身份证。</w:t>
      </w:r>
    </w:p>
    <w:p>
      <w:pPr>
        <w:numPr>
          <w:ilvl w:val="0"/>
          <w:numId w:val="1"/>
        </w:numPr>
        <w:spacing w:line="48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体检前一天的晚餐，请勿食高脂、油腻及血性食物，也不宜饮酒，晚十点后请勿进食，体检当日抽血、留尿检前禁食禁水，腹部彩超前检查前，禁食，可饮水。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运动锻炼和激烈的体力活动影响到许多抽血化验项目的检测结果，请您体检前三天起保持常态活动量，避免剧烈活动。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感冒发烧及体内有炎症者暂缓体检。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为了体检结果的准确和主检结论的完整，请将您的既往病史和现患疾病详细告诉查体医生。</w:t>
      </w:r>
    </w:p>
    <w:p>
      <w:pPr>
        <w:numPr>
          <w:ilvl w:val="0"/>
          <w:numId w:val="1"/>
        </w:numPr>
        <w:spacing w:line="48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因行膀胱及妇科超声检查，晨起后，请尽量勿排小便，保持膀胱充盈，确保超声检查准确性。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行X线、CT、MRI检查者，宜穿棉质内衣，勿穿带金属类饰物的衣服、文胸，检查时须摘去项链、手机、手表、钢笔、钥匙等所有金属物品。女性体检勿穿连衣裙、连裤袜。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做妇科检查前应排空小便，女性月经期间不宜行妇科检查和尿常规检查。孕妇及放射线禁忌者不宜行X线检查。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妇女行妇检及宫颈涂片检查者前一天勿行房事，勿行阴道冲洗或使用塞剂等。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既往抽血若有晕针、晕血现象，请事先告知医生或护士，以便做好应急救治准备。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糖尿病、高血压、心脏病等受检者，请服药后进行体检。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检查顺序：请您首先进行需空腹检查的项目，如：抽血、彩超等，然后进行其它各项检查，也可以先去进行检查等候时间短的检查。</w:t>
      </w:r>
    </w:p>
    <w:p>
      <w:pPr>
        <w:numPr>
          <w:ilvl w:val="0"/>
          <w:numId w:val="1"/>
        </w:numPr>
        <w:spacing w:line="400" w:lineRule="exact"/>
        <w:rPr>
          <w:rFonts w:hint="eastAsia" w:ascii="幼圆" w:eastAsia="幼圆"/>
          <w:sz w:val="24"/>
        </w:rPr>
      </w:pPr>
      <w:r>
        <w:rPr>
          <w:rFonts w:hint="eastAsia" w:ascii="幼圆" w:eastAsia="幼圆"/>
          <w:sz w:val="24"/>
        </w:rPr>
        <w:t>全部项目检查完毕，请您持体检项目总指引单到服务台；若有些项目不检，请告知护士。</w:t>
      </w:r>
    </w:p>
    <w:p>
      <w:pPr>
        <w:rPr>
          <w:rFonts w:hint="eastAsia" w:ascii="幼圆" w:eastAsia="幼圆"/>
          <w:sz w:val="24"/>
        </w:rPr>
      </w:pPr>
    </w:p>
    <w:p>
      <w:pPr>
        <w:jc w:val="center"/>
        <w:rPr>
          <w:rFonts w:hint="eastAsia"/>
        </w:rPr>
      </w:pPr>
    </w:p>
    <w:p/>
    <w:sectPr>
      <w:pgSz w:w="16840" w:h="11907" w:orient="landscape"/>
      <w:pgMar w:top="1440" w:right="1077" w:bottom="1440" w:left="107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细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7AA"/>
    <w:multiLevelType w:val="multilevel"/>
    <w:tmpl w:val="153717A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B7559"/>
    <w:rsid w:val="585F0361"/>
    <w:rsid w:val="659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80" w:lineRule="auto"/>
      <w:ind w:firstLine="482" w:firstLineChars="200"/>
    </w:pPr>
    <w:rPr>
      <w:rFonts w:ascii="长城细圆" w:eastAsia="长城细圆"/>
      <w:color w:val="000000"/>
      <w:sz w:val="24"/>
      <w:szCs w:val="21"/>
    </w:rPr>
  </w:style>
  <w:style w:type="paragraph" w:customStyle="1" w:styleId="5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2019-08-02T05:51:00Z</dcterms:created>
  <dc:creator>美工赖艺</dc:creator>
  <cp:lastModifiedBy>美工赖艺</cp:lastModifiedBy>
  <dcterms:modified xsi:type="dcterms:W3CDTF">2019-08-02T05:51:32Z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